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7496" w14:textId="4CC8EC8D" w:rsidR="00DE6D13" w:rsidRPr="00CD30AF" w:rsidRDefault="00DE6D13" w:rsidP="00E423A3">
      <w:pPr>
        <w:spacing w:line="276" w:lineRule="auto"/>
        <w:contextualSpacing/>
        <w:rPr>
          <w:b/>
          <w:bCs/>
        </w:rPr>
      </w:pPr>
      <w:r w:rsidRPr="00B8417B">
        <w:rPr>
          <w:b/>
          <w:bCs/>
        </w:rPr>
        <w:t>Main theses of scientific and technical research of the Research Laboratory of "Discrete Type Mineralization Problems" (Bishkek, Riga).</w:t>
      </w:r>
      <w:r w:rsidR="00CD30AF" w:rsidRPr="00CD30AF">
        <w:rPr>
          <w:b/>
          <w:bCs/>
        </w:rPr>
        <w:t xml:space="preserve"> DOI: 10.13140/RG.2.2.10645.59367</w:t>
      </w:r>
    </w:p>
    <w:p w14:paraId="4DC15617" w14:textId="77777777" w:rsidR="00DE6D13" w:rsidRDefault="00DE6D13" w:rsidP="00E423A3">
      <w:pPr>
        <w:spacing w:line="276" w:lineRule="auto"/>
        <w:contextualSpacing/>
      </w:pPr>
      <w:r>
        <w:t xml:space="preserve">Developed </w:t>
      </w:r>
      <w:proofErr w:type="gramStart"/>
      <w:r>
        <w:t>on the basis of</w:t>
      </w:r>
      <w:proofErr w:type="gramEnd"/>
      <w:r>
        <w:t xml:space="preserve"> theoretical published studies of the paradigm of "discrete type mineralization" against the current and outdated "continuous type" of mineralization. Applied as methodological foundations for new approaches and the formation of scientific and practical concepts, categories and practical mechanisms and tools of innovation. Developed </w:t>
      </w:r>
      <w:proofErr w:type="gramStart"/>
      <w:r>
        <w:t>on the basis of</w:t>
      </w:r>
      <w:proofErr w:type="gramEnd"/>
      <w:r>
        <w:t xml:space="preserve"> a study of gold ore deposits in the Kyrgyz Republic.</w:t>
      </w:r>
    </w:p>
    <w:p w14:paraId="0D1081A8" w14:textId="77777777" w:rsidR="00DE6D13" w:rsidRDefault="00DE6D13" w:rsidP="00E423A3">
      <w:pPr>
        <w:spacing w:line="276" w:lineRule="auto"/>
        <w:contextualSpacing/>
      </w:pPr>
      <w:r>
        <w:t>Main theses - scientific hypotheses and empirical results. Some indicators and practical significance.</w:t>
      </w:r>
    </w:p>
    <w:p w14:paraId="4D4AC094" w14:textId="77777777" w:rsidR="00DE6D13" w:rsidRPr="00B8417B" w:rsidRDefault="00DE6D13" w:rsidP="00E423A3">
      <w:pPr>
        <w:spacing w:line="276" w:lineRule="auto"/>
        <w:contextualSpacing/>
        <w:rPr>
          <w:b/>
          <w:bCs/>
        </w:rPr>
      </w:pPr>
      <w:r w:rsidRPr="00B8417B">
        <w:rPr>
          <w:b/>
          <w:bCs/>
        </w:rPr>
        <w:t xml:space="preserve">I. Geology of discrete type mineralization. Structural and kinematic prerequisites; Fractality, discreteness, </w:t>
      </w:r>
      <w:proofErr w:type="spellStart"/>
      <w:r w:rsidRPr="00B8417B">
        <w:rPr>
          <w:b/>
          <w:bCs/>
        </w:rPr>
        <w:t>blockiness</w:t>
      </w:r>
      <w:proofErr w:type="spellEnd"/>
      <w:r w:rsidRPr="00B8417B">
        <w:rPr>
          <w:b/>
          <w:bCs/>
        </w:rPr>
        <w:t xml:space="preserve">, mosaic </w:t>
      </w:r>
      <w:proofErr w:type="spellStart"/>
      <w:r w:rsidRPr="00B8417B">
        <w:rPr>
          <w:b/>
          <w:bCs/>
        </w:rPr>
        <w:t>blockiness</w:t>
      </w:r>
      <w:proofErr w:type="spellEnd"/>
      <w:r w:rsidRPr="00B8417B">
        <w:rPr>
          <w:b/>
          <w:bCs/>
        </w:rPr>
        <w:t xml:space="preserve"> of mineralization, discrete subsystems.</w:t>
      </w:r>
    </w:p>
    <w:p w14:paraId="10C6DA6B" w14:textId="77777777" w:rsidR="00DE6D13" w:rsidRDefault="00DE6D13" w:rsidP="00E423A3">
      <w:pPr>
        <w:spacing w:line="276" w:lineRule="auto"/>
        <w:contextualSpacing/>
      </w:pPr>
      <w:r>
        <w:t xml:space="preserve">The tectono-dynamic history of the deposit area development forms the regularity of the structural-kinematic scheme of the deposit structure as the development of pre-ore and syn-ore zones of varying degrees of fracturing. Which localize and control mineralization. The degree of mineralization intensity usually correlates with the degree of mineralization concentration. What forms the regularity of the size, distribution and placement of </w:t>
      </w:r>
      <w:proofErr w:type="spellStart"/>
      <w:r>
        <w:t>blockiness</w:t>
      </w:r>
      <w:proofErr w:type="spellEnd"/>
      <w:r>
        <w:t xml:space="preserve">. </w:t>
      </w:r>
      <w:proofErr w:type="spellStart"/>
      <w:r>
        <w:t>Blockiness</w:t>
      </w:r>
      <w:proofErr w:type="spellEnd"/>
      <w:r>
        <w:t xml:space="preserve"> can be estimated mathematically by the formulas: Sadovsky, Piotrovsky, </w:t>
      </w:r>
      <w:proofErr w:type="spellStart"/>
      <w:r>
        <w:t>Kocheryan</w:t>
      </w:r>
      <w:proofErr w:type="spellEnd"/>
      <w:r>
        <w:t xml:space="preserve">, Spivak, Oparin, </w:t>
      </w:r>
      <w:proofErr w:type="spellStart"/>
      <w:r>
        <w:t>Kurleni</w:t>
      </w:r>
      <w:proofErr w:type="spellEnd"/>
      <w:r>
        <w:t xml:space="preserve"> which estimate both the size and the location of fracturing zones and mineralization blocks - from continental blocks to small nests and lenses of mineralization. Morphologically, blocks can be represented by faults with vein zones and stockwork bodies (porphyry and skarn types). </w:t>
      </w:r>
      <w:proofErr w:type="spellStart"/>
      <w:r>
        <w:t>Blockiness</w:t>
      </w:r>
      <w:proofErr w:type="spellEnd"/>
      <w:r>
        <w:t xml:space="preserve"> does not have clear geometric forms, but in terms of dimension they have a mathematical dependence described by a universal natural regularity - fractality (</w:t>
      </w:r>
      <w:proofErr w:type="spellStart"/>
      <w:r>
        <w:t>Manderbot</w:t>
      </w:r>
      <w:proofErr w:type="spellEnd"/>
      <w:r>
        <w:t xml:space="preserve">, </w:t>
      </w:r>
      <w:proofErr w:type="spellStart"/>
      <w:r>
        <w:t>Turkot</w:t>
      </w:r>
      <w:proofErr w:type="spellEnd"/>
      <w:r>
        <w:t xml:space="preserve">, Pavlov, </w:t>
      </w:r>
      <w:proofErr w:type="spellStart"/>
      <w:r>
        <w:t>Filonyuk</w:t>
      </w:r>
      <w:proofErr w:type="spellEnd"/>
      <w:r>
        <w:t xml:space="preserve">, etc.). Defined as hierarchically built models of the system-subsystem, where each subsequent subsystem is included in the system containing it, adjacent hierarchical levels. The main feature of fractality is the self-similarity of each hierarchy of the system. Discreteness (Houston, </w:t>
      </w:r>
      <w:proofErr w:type="spellStart"/>
      <w:r>
        <w:t>Piarno</w:t>
      </w:r>
      <w:proofErr w:type="spellEnd"/>
      <w:r>
        <w:t xml:space="preserve">, </w:t>
      </w:r>
      <w:proofErr w:type="spellStart"/>
      <w:r>
        <w:t>Vuilbon</w:t>
      </w:r>
      <w:proofErr w:type="spellEnd"/>
      <w:r>
        <w:t xml:space="preserve">, etc.) as a property of fractality describes taxonomically built hierarchy of blocks as well as in the model of the system-subsystem of deposit blocks (from deposit blocks to grains, minerals of the useful component). It has a regular power value as </w:t>
      </w:r>
      <w:proofErr w:type="spellStart"/>
      <w:r>
        <w:t>LnL</w:t>
      </w:r>
      <w:proofErr w:type="spellEnd"/>
      <w:r>
        <w:t xml:space="preserve"> / </w:t>
      </w:r>
      <w:proofErr w:type="spellStart"/>
      <w:r>
        <w:t>LnL</w:t>
      </w:r>
      <w:proofErr w:type="spellEnd"/>
      <w:r>
        <w:t xml:space="preserve"> +1 (the ratio of the system to the subsystem) ≈ 1.1-1.4. Within the discrete subsystems - hierarchical taxa, in accordance with the structural-kinematic scheme of ore formation by the degree of fracturing with localization of mineralization, a pattern in the form of mosaic </w:t>
      </w:r>
      <w:proofErr w:type="spellStart"/>
      <w:r>
        <w:t>blockiness</w:t>
      </w:r>
      <w:proofErr w:type="spellEnd"/>
      <w:r>
        <w:t xml:space="preserve"> is distinguished. Which is determined by the core of mineralization - the zone of anomalous intensive mineralization; the periphery of mineralization - transition zones of fracturing intensity and concentration of mineralization and barren and substandard blocks (separating and / or on the flanks and by the dip of the core blocks and the periphery of mineralization. In addition, the mosaic blocks of each subsystem by size and distribution of its constituent blocks are defined as regular parameters. At the same time, according to the distribution of ore and barren blocks, the system includes a significant number of barren blocks of the subsystem included in it, which are very difficult to measure. In this regard, the pattern of concentration of the ore component up to 96-99% in the volume of 13-26-40-60% of ore blocks of the subsystem with a dimension of 0.1-0.01 m is determined. From this pattern of ores, i.e. the concentration of ore substance in the volume of ore </w:t>
      </w:r>
      <w:proofErr w:type="gramStart"/>
      <w:r>
        <w:t>with the exception of</w:t>
      </w:r>
      <w:proofErr w:type="gramEnd"/>
      <w:r>
        <w:t xml:space="preserve"> barren blocks, for the latter</w:t>
      </w:r>
      <w:r w:rsidRPr="00DE6D13">
        <w:t xml:space="preserve"> </w:t>
      </w:r>
      <w:r>
        <w:t>discrete subsystem studies substantiated the predisposition of allocation of more than 96-99% of gold and copper in 20-40-60% of the ore mass (model concentrated commercial ore).</w:t>
      </w:r>
    </w:p>
    <w:p w14:paraId="345EB0CF" w14:textId="77777777" w:rsidR="001946BF" w:rsidRPr="00CD30AF" w:rsidRDefault="00DE6D13" w:rsidP="00E423A3">
      <w:pPr>
        <w:spacing w:line="276" w:lineRule="auto"/>
        <w:contextualSpacing/>
      </w:pPr>
      <w:r>
        <w:lastRenderedPageBreak/>
        <w:t xml:space="preserve">Due to the regularity of fractal self-similarity (equivalence to identity) of hierarchically constructed subsystems, results were obtained to substantiate the exploration methodology with the calculation of mineralization parameters for discrete subsystems. First, the allocation of the distance and dimension of mineralization blocks by </w:t>
      </w:r>
      <w:proofErr w:type="spellStart"/>
      <w:r>
        <w:t>blockiness</w:t>
      </w:r>
      <w:proofErr w:type="spellEnd"/>
      <w:r>
        <w:t xml:space="preserve"> allows us to predict, diagnose and evaluate the placement of mineralization blocks; secondly, the possibility of substantiating the exploration network enlarged or reduced in accordance with the exponential value of the ratio of discrete subsystems Ln ≈ 1.1-1.4. Discreteness of subsystems and transitions of a subsystem to the system containing it, taking into account self-similarity, can be diagnosed along the mineralization contour as well as by the degree of the ratio of discrete subsystems; third, determining the patterns of mineralization intensity by the </w:t>
      </w:r>
      <w:proofErr w:type="spellStart"/>
      <w:r>
        <w:t>mosaicity</w:t>
      </w:r>
      <w:proofErr w:type="spellEnd"/>
      <w:r>
        <w:t xml:space="preserve"> of blocks from the mineralization core allows us to justify the average content during the transition from a discrete subsystem to the system enclosing it and/or vice versa. The described methods allow us to justify the exploration network and expansion by 2 or more times with an acceptable error in reserves and geological error - statistical indicators of gold content. Which allows us to implement exploration networks to increase the productivity of geological exploration by two or more times with a corresponding reduction in time, labor and funding. In addition, the geology of the discrete type of mineralization allows us to re-evaluate the resources of complex mineralization and is very productive when assessing deposits with poor ores. </w:t>
      </w:r>
      <w:proofErr w:type="gramStart"/>
      <w:r>
        <w:t>In particular, for</w:t>
      </w:r>
      <w:proofErr w:type="gramEnd"/>
      <w:r>
        <w:t xml:space="preserve"> </w:t>
      </w:r>
      <w:proofErr w:type="gramStart"/>
      <w:r>
        <w:t>a number of</w:t>
      </w:r>
      <w:proofErr w:type="gramEnd"/>
      <w:r>
        <w:t xml:space="preserve"> gold deposits of poor ores (1.1-2 g / t), the results of geological and economic assessment of reserves with an increase in gross profitability (profit of a mining project) by 20-50% were obtained. </w:t>
      </w:r>
    </w:p>
    <w:p w14:paraId="37B5FE28" w14:textId="3F90E2EF" w:rsidR="00DE6D13" w:rsidRDefault="00DE6D13" w:rsidP="00E423A3">
      <w:pPr>
        <w:spacing w:line="276" w:lineRule="auto"/>
        <w:contextualSpacing/>
      </w:pPr>
      <w:r w:rsidRPr="002C123B">
        <w:rPr>
          <w:b/>
          <w:bCs/>
        </w:rPr>
        <w:t>II. Geotechnology of the discrete type of mineralization</w:t>
      </w:r>
      <w:r>
        <w:t xml:space="preserve">. Based on the results of discrete geology studies: Fractality, discreteness, </w:t>
      </w:r>
      <w:proofErr w:type="spellStart"/>
      <w:r>
        <w:t>blockiness</w:t>
      </w:r>
      <w:proofErr w:type="spellEnd"/>
      <w:r>
        <w:t xml:space="preserve">, invariance of rock and ore blocks, mosaic </w:t>
      </w:r>
      <w:proofErr w:type="spellStart"/>
      <w:r>
        <w:t>blockiness</w:t>
      </w:r>
      <w:proofErr w:type="spellEnd"/>
      <w:r>
        <w:t xml:space="preserve"> of mineralization; discrete subsystems; nonlinear geomechanics.</w:t>
      </w:r>
    </w:p>
    <w:p w14:paraId="5BE422B7" w14:textId="77777777" w:rsidR="00DE6D13" w:rsidRDefault="00DE6D13" w:rsidP="00E423A3">
      <w:pPr>
        <w:spacing w:line="276" w:lineRule="auto"/>
        <w:contextualSpacing/>
      </w:pPr>
      <w:r>
        <w:t>New approaches have been developed to substantiate geomechanics, geotechnology, enrichment technology and extraction of useful components. Discrete subsystems are divided by size: N x 1000m; N x 100m; N x 10m; N x 0.1; 0.01m. The regularities of fractal, discrete natural organization of mineralization blocks by size, distribution and placement of mosaic blocks have the following consequences:</w:t>
      </w:r>
    </w:p>
    <w:p w14:paraId="5A14ACAE" w14:textId="77777777" w:rsidR="00DE6D13" w:rsidRDefault="00DE6D13" w:rsidP="00E423A3">
      <w:pPr>
        <w:spacing w:line="276" w:lineRule="auto"/>
        <w:contextualSpacing/>
      </w:pPr>
      <w:r>
        <w:t xml:space="preserve">N x0.1; 0.01m. The main technological, </w:t>
      </w:r>
      <w:proofErr w:type="spellStart"/>
      <w:r>
        <w:t>geotechnological</w:t>
      </w:r>
      <w:proofErr w:type="spellEnd"/>
      <w:r>
        <w:t xml:space="preserve"> discrete subsystem in which the model of concentration commercial ore for geotechnology is formed. The method of X-ray-radiometric-laser (Sensor Based Sorting - SBS) enrichment yielded commercial ore with concentration indices&gt; 96-99% of the ore component (Au, Cu) in 13-26-40-68% of the ore weight. The positive results of enrichment by ore preparation are:</w:t>
      </w:r>
    </w:p>
    <w:p w14:paraId="6631861F" w14:textId="77777777" w:rsidR="00DE6D13" w:rsidRDefault="00DE6D13" w:rsidP="00E423A3">
      <w:pPr>
        <w:spacing w:line="276" w:lineRule="auto"/>
        <w:contextualSpacing/>
      </w:pPr>
      <w:r>
        <w:t xml:space="preserve">1. Concentrated commercial </w:t>
      </w:r>
      <w:proofErr w:type="gramStart"/>
      <w:r>
        <w:t>ore;</w:t>
      </w:r>
      <w:proofErr w:type="gramEnd"/>
    </w:p>
    <w:p w14:paraId="14F33738" w14:textId="77777777" w:rsidR="00DE6D13" w:rsidRDefault="00DE6D13" w:rsidP="00E423A3">
      <w:pPr>
        <w:spacing w:line="276" w:lineRule="auto"/>
        <w:contextualSpacing/>
      </w:pPr>
      <w:r>
        <w:t>2. Reduction of ore transportation to the Gold Extraction Plant by 30-80</w:t>
      </w:r>
      <w:proofErr w:type="gramStart"/>
      <w:r>
        <w:t>%;</w:t>
      </w:r>
      <w:proofErr w:type="gramEnd"/>
    </w:p>
    <w:p w14:paraId="519A1EA8" w14:textId="77777777" w:rsidR="00DE6D13" w:rsidRDefault="00DE6D13" w:rsidP="00E423A3">
      <w:pPr>
        <w:spacing w:line="276" w:lineRule="auto"/>
        <w:contextualSpacing/>
      </w:pPr>
      <w:r>
        <w:t>3. Reduction of ore preparation and extraction for the capital costs of the Gold Extraction Plant and operating costs by 30-80</w:t>
      </w:r>
      <w:proofErr w:type="gramStart"/>
      <w:r>
        <w:t>%;</w:t>
      </w:r>
      <w:proofErr w:type="gramEnd"/>
    </w:p>
    <w:p w14:paraId="2096FF88" w14:textId="77777777" w:rsidR="00DE6D13" w:rsidRDefault="00DE6D13" w:rsidP="00E423A3">
      <w:pPr>
        <w:spacing w:line="276" w:lineRule="auto"/>
        <w:contextualSpacing/>
      </w:pPr>
      <w:r>
        <w:t>4. Reduction of tailings yield and tailings management costs by 30-80</w:t>
      </w:r>
      <w:proofErr w:type="gramStart"/>
      <w:r>
        <w:t>%;</w:t>
      </w:r>
      <w:proofErr w:type="gramEnd"/>
    </w:p>
    <w:p w14:paraId="30AB53FA" w14:textId="5BD5B87B" w:rsidR="006C2B4F" w:rsidRPr="00CD30AF" w:rsidRDefault="00DE6D13" w:rsidP="00E423A3">
      <w:pPr>
        <w:spacing w:line="276" w:lineRule="auto"/>
        <w:contextualSpacing/>
      </w:pPr>
      <w:r>
        <w:t>5. High concentrated contents of the useful component in the concentrated ore by &gt;1.5-3 times increase the coefficient of through extraction of the component by 2-6</w:t>
      </w:r>
      <w:proofErr w:type="gramStart"/>
      <w:r>
        <w:t>%;</w:t>
      </w:r>
      <w:proofErr w:type="gramEnd"/>
    </w:p>
    <w:p w14:paraId="53A97D96" w14:textId="77777777" w:rsidR="00DE6D13" w:rsidRPr="00DE6D13" w:rsidRDefault="00DE6D13" w:rsidP="00E423A3">
      <w:pPr>
        <w:spacing w:line="276" w:lineRule="auto"/>
        <w:contextualSpacing/>
      </w:pPr>
      <w:r w:rsidRPr="00DE6D13">
        <w:t xml:space="preserve">6. For geotechnology, the ore enrichment factor allows for the implementation of mechanized development systems for thin vein bodies (with an increase in the minimum extraction capacity and an </w:t>
      </w:r>
      <w:r w:rsidRPr="00DE6D13">
        <w:lastRenderedPageBreak/>
        <w:t>increase in dilution) with an increase in productivity up to 3 times and a reduction in operating costs for cleaning operations by 2.5-3 times; a reduction in ore and component losses from 7-8 to 3-4%;</w:t>
      </w:r>
    </w:p>
    <w:p w14:paraId="2843D456" w14:textId="77777777" w:rsidR="00DE6D13" w:rsidRPr="00DE6D13" w:rsidRDefault="00DE6D13" w:rsidP="00E423A3">
      <w:pPr>
        <w:spacing w:line="276" w:lineRule="auto"/>
        <w:contextualSpacing/>
      </w:pPr>
      <w:r w:rsidRPr="00DE6D13">
        <w:t xml:space="preserve">7. Waste from ore preparation by the SBS method in volumes from 20 to 80% of the production ore forms seasoned fractions for the stowage complex and is returned to the </w:t>
      </w:r>
      <w:proofErr w:type="gramStart"/>
      <w:r w:rsidRPr="00DE6D13">
        <w:t>subsoil;</w:t>
      </w:r>
      <w:proofErr w:type="gramEnd"/>
    </w:p>
    <w:p w14:paraId="4D35AFD9" w14:textId="77777777" w:rsidR="00DE6D13" w:rsidRPr="00DE6D13" w:rsidRDefault="00DE6D13" w:rsidP="00E423A3">
      <w:pPr>
        <w:spacing w:line="276" w:lineRule="auto"/>
        <w:contextualSpacing/>
      </w:pPr>
      <w:r w:rsidRPr="00DE6D13">
        <w:t xml:space="preserve">N x10m. The main discrete subsystem for substantiating new approaches to </w:t>
      </w:r>
      <w:proofErr w:type="spellStart"/>
      <w:r w:rsidRPr="00DE6D13">
        <w:t>geomechanical</w:t>
      </w:r>
      <w:proofErr w:type="spellEnd"/>
      <w:r w:rsidRPr="00DE6D13">
        <w:t xml:space="preserve"> and </w:t>
      </w:r>
      <w:proofErr w:type="spellStart"/>
      <w:r w:rsidRPr="00DE6D13">
        <w:t>geotechnological</w:t>
      </w:r>
      <w:proofErr w:type="spellEnd"/>
      <w:r w:rsidRPr="00DE6D13">
        <w:t xml:space="preserve"> operations of the mine. Comparability of the dimensions and consistency of distribution and placement of mosaic </w:t>
      </w:r>
      <w:proofErr w:type="spellStart"/>
      <w:r w:rsidRPr="00DE6D13">
        <w:t>blockiness</w:t>
      </w:r>
      <w:proofErr w:type="spellEnd"/>
      <w:r w:rsidRPr="00DE6D13">
        <w:t>: mineralization core-mineralization periphery and barren blocks have the following consequences:</w:t>
      </w:r>
    </w:p>
    <w:p w14:paraId="1FA7F20C" w14:textId="77777777" w:rsidR="00DE6D13" w:rsidRPr="00DE6D13" w:rsidRDefault="00DE6D13" w:rsidP="00E423A3">
      <w:pPr>
        <w:spacing w:line="276" w:lineRule="auto"/>
        <w:contextualSpacing/>
      </w:pPr>
      <w:r w:rsidRPr="00DE6D13">
        <w:t>8. For vein industrial types, the possibility of increasing the minimum extraction capacity, the introduction of a layered mechanized cleaning system along enlarged contours from 40x40m to 80 x 120-</w:t>
      </w:r>
      <w:proofErr w:type="gramStart"/>
      <w:r w:rsidRPr="00DE6D13">
        <w:t>160m;</w:t>
      </w:r>
      <w:proofErr w:type="gramEnd"/>
    </w:p>
    <w:p w14:paraId="08FD8483" w14:textId="77777777" w:rsidR="00DE6D13" w:rsidRPr="00DE6D13" w:rsidRDefault="00DE6D13" w:rsidP="00E423A3">
      <w:pPr>
        <w:spacing w:line="276" w:lineRule="auto"/>
        <w:contextualSpacing/>
      </w:pPr>
      <w:r w:rsidRPr="00DE6D13">
        <w:t xml:space="preserve">9. For stockwork deposits, a layered cleaning system with backfill can also be introduced against various subsystems of sublevel caving. This increases the time and money spent on cleaning, but the losses and dilution of ore and components are reduced by more than 3-4 </w:t>
      </w:r>
      <w:proofErr w:type="gramStart"/>
      <w:r w:rsidRPr="00DE6D13">
        <w:t>times;</w:t>
      </w:r>
      <w:proofErr w:type="gramEnd"/>
    </w:p>
    <w:p w14:paraId="00D15A61" w14:textId="77777777" w:rsidR="00DE6D13" w:rsidRPr="00DE6D13" w:rsidRDefault="00DE6D13" w:rsidP="00E423A3">
      <w:pPr>
        <w:spacing w:line="276" w:lineRule="auto"/>
        <w:contextualSpacing/>
      </w:pPr>
      <w:r w:rsidRPr="00DE6D13">
        <w:t xml:space="preserve">10. The size, distribution and placement of barren and substandard blocks in the contour of mosaic blocks of the discrete subsystem allow to justify the </w:t>
      </w:r>
      <w:proofErr w:type="spellStart"/>
      <w:r w:rsidRPr="00DE6D13">
        <w:t>geomechanical</w:t>
      </w:r>
      <w:proofErr w:type="spellEnd"/>
      <w:r w:rsidRPr="00DE6D13">
        <w:t xml:space="preserve"> conditions of the extraction spaces when using these blocks as abandoned support pillars, which reach 10-40% of the volume of the extraction space. </w:t>
      </w:r>
      <w:proofErr w:type="gramStart"/>
      <w:r w:rsidRPr="00DE6D13">
        <w:t>Than</w:t>
      </w:r>
      <w:proofErr w:type="gramEnd"/>
      <w:r w:rsidRPr="00DE6D13">
        <w:t xml:space="preserve"> the model of the second type of concentration of exploitation ore is formed with the exclusion from the volume from 10 to 40% of the weight volume of the primary with traditional approaches of exploitation </w:t>
      </w:r>
      <w:proofErr w:type="gramStart"/>
      <w:r w:rsidRPr="00DE6D13">
        <w:t>ore;</w:t>
      </w:r>
      <w:proofErr w:type="gramEnd"/>
    </w:p>
    <w:p w14:paraId="3F13CEE6" w14:textId="77777777" w:rsidR="00DE6D13" w:rsidRPr="00DE6D13" w:rsidRDefault="00DE6D13" w:rsidP="00E423A3">
      <w:pPr>
        <w:spacing w:line="276" w:lineRule="auto"/>
        <w:contextualSpacing/>
      </w:pPr>
      <w:r w:rsidRPr="00DE6D13">
        <w:t xml:space="preserve">11. The second consequence of geotechnology, the use of rock massifs of barren and substandard blocks (with a dimension multiple of the calculated cross-sections of the pillars) in the form of abandoned support pillars for a comparable volume reduces the loss of ore and component with traditional methods of forming pillars from ore massifs - the volume of loss reduction by 10-40% of the </w:t>
      </w:r>
      <w:proofErr w:type="gramStart"/>
      <w:r w:rsidRPr="00DE6D13">
        <w:t>traditional;</w:t>
      </w:r>
      <w:proofErr w:type="gramEnd"/>
      <w:r w:rsidRPr="00DE6D13">
        <w:t xml:space="preserve"> </w:t>
      </w:r>
    </w:p>
    <w:p w14:paraId="7A84E4F8" w14:textId="5A385B4F" w:rsidR="00DE6D13" w:rsidRPr="00DE6D13" w:rsidRDefault="00DE6D13" w:rsidP="00E423A3">
      <w:pPr>
        <w:spacing w:line="276" w:lineRule="auto"/>
        <w:contextualSpacing/>
      </w:pPr>
      <w:r w:rsidRPr="00DE6D13">
        <w:t>12. The dimension, distribution and placement of barren blocks (with a dimension multiple of the dimension of the panel section) of the mosaic contours of the discrete subsystem for stockwork deposits allows the introduction of the use of barren blocks in the form of supporting in the form of frame geotechnology with the placement of mining panels under, above and/or on the flanks of supporting pillars. With the introduction of many two-three-tier frame geotechnology with the placement of mining panels on different tiers of the rock floor.</w:t>
      </w:r>
    </w:p>
    <w:p w14:paraId="59179DCF" w14:textId="77777777" w:rsidR="00DE6D13" w:rsidRPr="00CD30AF" w:rsidRDefault="00DE6D13" w:rsidP="00E423A3">
      <w:pPr>
        <w:spacing w:line="276" w:lineRule="auto"/>
        <w:contextualSpacing/>
      </w:pPr>
      <w:r w:rsidRPr="00DE6D13">
        <w:t xml:space="preserve">The discrete subsystem N x 100m is formed from the introduction of cleaning systems and </w:t>
      </w:r>
      <w:proofErr w:type="spellStart"/>
      <w:r w:rsidRPr="00DE6D13">
        <w:t>geomechanical</w:t>
      </w:r>
      <w:proofErr w:type="spellEnd"/>
      <w:r w:rsidRPr="00DE6D13">
        <w:t xml:space="preserve"> conditions of mining operations of the previous subsystem.</w:t>
      </w:r>
    </w:p>
    <w:p w14:paraId="38A72DA6" w14:textId="75F5284A" w:rsidR="00DE6D13" w:rsidRPr="00CD30AF" w:rsidRDefault="00DE6D13" w:rsidP="00E423A3">
      <w:pPr>
        <w:spacing w:line="276" w:lineRule="auto"/>
        <w:contextualSpacing/>
      </w:pPr>
      <w:r w:rsidRPr="00DE6D13">
        <w:t xml:space="preserve"> 13. Formation of geotechnical conditions of frame geotechnology on sub-levels, tiers with the introduction of supporting abandoned pillars of rock massifs and substandard ore massifs in combination with hardening backfill create new geotechnical conditions for the stability of rock levels based on nonlinear geomechanics with the redistribution of the stress-strain field (SSF) to supporting abandoned rock pillars - frame geotechnology </w:t>
      </w:r>
      <w:proofErr w:type="gramStart"/>
      <w:r w:rsidRPr="00DE6D13">
        <w:t>subsystems;</w:t>
      </w:r>
      <w:proofErr w:type="gramEnd"/>
    </w:p>
    <w:p w14:paraId="4362481A" w14:textId="77777777" w:rsidR="005B53CC" w:rsidRPr="00491761" w:rsidRDefault="005B53CC" w:rsidP="00E423A3">
      <w:pPr>
        <w:spacing w:line="276" w:lineRule="auto"/>
        <w:contextualSpacing/>
      </w:pPr>
      <w:r w:rsidRPr="00491761">
        <w:t xml:space="preserve">14. Increased-size mine floors are formed for layered subsystems of </w:t>
      </w:r>
      <w:proofErr w:type="spellStart"/>
      <w:r w:rsidRPr="00491761">
        <w:t>stoping</w:t>
      </w:r>
      <w:proofErr w:type="spellEnd"/>
      <w:r w:rsidRPr="00491761">
        <w:t xml:space="preserve"> works, up to and over 80-120 m along the dip and strike for vein and stockwork types of deposits, while the volume of mining-capital and mining-development workings and works is </w:t>
      </w:r>
      <w:proofErr w:type="gramStart"/>
      <w:r w:rsidRPr="00491761">
        <w:t>reduced;</w:t>
      </w:r>
      <w:proofErr w:type="gramEnd"/>
    </w:p>
    <w:p w14:paraId="2C74D83A" w14:textId="77777777" w:rsidR="005B53CC" w:rsidRPr="00491761" w:rsidRDefault="005B53CC" w:rsidP="00E423A3">
      <w:pPr>
        <w:spacing w:line="276" w:lineRule="auto"/>
        <w:contextualSpacing/>
      </w:pPr>
      <w:r w:rsidRPr="00491761">
        <w:lastRenderedPageBreak/>
        <w:t xml:space="preserve">15. The introduction of frame geotechnology of expanded sizes of mine floors based on non-linear geomechanics entails the abandonment of the creation of </w:t>
      </w:r>
      <w:proofErr w:type="spellStart"/>
      <w:r w:rsidRPr="00491761">
        <w:t>interblock</w:t>
      </w:r>
      <w:proofErr w:type="spellEnd"/>
      <w:r w:rsidRPr="00491761">
        <w:t xml:space="preserve"> and </w:t>
      </w:r>
      <w:proofErr w:type="spellStart"/>
      <w:r w:rsidRPr="00491761">
        <w:t>interhorizon</w:t>
      </w:r>
      <w:proofErr w:type="spellEnd"/>
      <w:r w:rsidRPr="00491761">
        <w:t xml:space="preserve"> pillars with a significant reduction in the loss of ore massifs to geotechnical </w:t>
      </w:r>
      <w:proofErr w:type="gramStart"/>
      <w:r w:rsidRPr="00491761">
        <w:t>structures;</w:t>
      </w:r>
      <w:proofErr w:type="gramEnd"/>
    </w:p>
    <w:p w14:paraId="1997E730" w14:textId="77777777" w:rsidR="005B53CC" w:rsidRPr="00491761" w:rsidRDefault="005B53CC" w:rsidP="00E423A3">
      <w:pPr>
        <w:spacing w:line="276" w:lineRule="auto"/>
        <w:contextualSpacing/>
      </w:pPr>
      <w:r w:rsidRPr="00491761">
        <w:t>16. Reduction in the volume of ore mining and haulage when introducing support pillars; reduction in the volume of GCR and GPR when introducing increased-size mine horizons entails a comparable reduction in general mine costs and works (production of high-pressure air, ventilation, water supply and drainage, transportation of materials, auxiliary repair and restoration works and personnel).</w:t>
      </w:r>
    </w:p>
    <w:p w14:paraId="738CE62A" w14:textId="77777777" w:rsidR="005B53CC" w:rsidRPr="00491761" w:rsidRDefault="005B53CC" w:rsidP="00E423A3">
      <w:pPr>
        <w:spacing w:line="276" w:lineRule="auto"/>
        <w:contextualSpacing/>
      </w:pPr>
      <w:r w:rsidRPr="00491761">
        <w:t xml:space="preserve">17. For a discrete system </w:t>
      </w:r>
      <w:proofErr w:type="spellStart"/>
      <w:r w:rsidRPr="00491761">
        <w:t>Nx</w:t>
      </w:r>
      <w:proofErr w:type="spellEnd"/>
      <w:r w:rsidRPr="00491761">
        <w:t xml:space="preserve"> 1000m, usually corresponding to the dimension of a deposit block, mine, the implementation of geotechnologies of the listed discrete subsystems entails significant opportunities for optimizing labor, material and capital costs for the GKR, GPR, </w:t>
      </w:r>
      <w:proofErr w:type="gramStart"/>
      <w:r w:rsidRPr="00491761">
        <w:t>OR,</w:t>
      </w:r>
      <w:proofErr w:type="gramEnd"/>
      <w:r w:rsidRPr="00491761">
        <w:t xml:space="preserve"> ZIF, tailings storage facility, general mine and general plant costs. At the same time, a significant increase in the productivity of the mine in mining operations, extraction and processing of ore is formed (estimated indicators for the three studied mines up to 2.5-3 times for annual ore extraction and gold extraction).</w:t>
      </w:r>
    </w:p>
    <w:p w14:paraId="7F66CF44" w14:textId="77777777" w:rsidR="005B53CC" w:rsidRPr="00491761" w:rsidRDefault="005B53CC" w:rsidP="00E423A3">
      <w:pPr>
        <w:spacing w:line="276" w:lineRule="auto"/>
        <w:contextualSpacing/>
      </w:pPr>
    </w:p>
    <w:p w14:paraId="262A6734" w14:textId="77777777" w:rsidR="005B53CC" w:rsidRPr="00B8417B" w:rsidRDefault="005B53CC" w:rsidP="00E423A3">
      <w:pPr>
        <w:spacing w:line="276" w:lineRule="auto"/>
        <w:contextualSpacing/>
        <w:rPr>
          <w:b/>
          <w:bCs/>
        </w:rPr>
      </w:pPr>
      <w:r w:rsidRPr="00B8417B">
        <w:rPr>
          <w:b/>
          <w:bCs/>
        </w:rPr>
        <w:t>III. Geological and economic assessment of reserves based on the economy of discrete subsystems.</w:t>
      </w:r>
    </w:p>
    <w:p w14:paraId="43C60756" w14:textId="77777777" w:rsidR="005B53CC" w:rsidRPr="00491761" w:rsidRDefault="005B53CC" w:rsidP="00E423A3">
      <w:pPr>
        <w:spacing w:line="276" w:lineRule="auto"/>
        <w:contextualSpacing/>
      </w:pPr>
      <w:r w:rsidRPr="00491761">
        <w:t xml:space="preserve">The economy of discrete subsystems is formed </w:t>
      </w:r>
      <w:proofErr w:type="gramStart"/>
      <w:r w:rsidRPr="00491761">
        <w:t>on the basis of</w:t>
      </w:r>
      <w:proofErr w:type="gramEnd"/>
      <w:r w:rsidRPr="00491761">
        <w:t xml:space="preserve"> those listed above in Section II: frame geotechnology (x10m; x100m), geomechanics, GPR, GKR, technology (x0.01m), enrichment and extraction; ZIF, tailings and tailings storage facilities, common mine and common plant costs (x 1000m).</w:t>
      </w:r>
    </w:p>
    <w:p w14:paraId="1F145918" w14:textId="77777777" w:rsidR="005B53CC" w:rsidRPr="00491761" w:rsidRDefault="005B53CC" w:rsidP="00E423A3">
      <w:pPr>
        <w:spacing w:line="276" w:lineRule="auto"/>
        <w:contextualSpacing/>
      </w:pPr>
      <w:r w:rsidRPr="00491761">
        <w:t xml:space="preserve">The economy of discrete subsystems is formed by autonomous differentiated elements of economic and production effect and are integrated into a new economic reality - production and economic synergy effect with a reduction in capital and operating costs of mine assessment and development by discrete subsystems and the system as a whole, respectively, an increase in profit, growth of the contour and volumes of reserves with a decrease in the parameters of the cutoff and minimum industrial content. And, probably, is a new method of maximizing the extraction of the value of subsoil resources, protection of subsoil and the economy of the industry. A new economic classification of ores (models) of discrete subsystems is being formed - a concentration type - economic meaning, prerequisites and consequences for a new approach to geological and economic assessment of reserves and a project for the development of </w:t>
      </w:r>
      <w:proofErr w:type="spellStart"/>
      <w:r w:rsidRPr="00491761">
        <w:t>m.p.i</w:t>
      </w:r>
      <w:proofErr w:type="spellEnd"/>
      <w:r w:rsidRPr="00491761">
        <w:t xml:space="preserve">. Construction of concentration </w:t>
      </w:r>
      <w:proofErr w:type="spellStart"/>
      <w:r w:rsidRPr="00491761">
        <w:t>geotechnological</w:t>
      </w:r>
      <w:proofErr w:type="spellEnd"/>
      <w:r w:rsidRPr="00491761">
        <w:t xml:space="preserve"> assessment models - Ore models for open pit mining, open pit mining, combined.</w:t>
      </w:r>
    </w:p>
    <w:p w14:paraId="0D2CC751" w14:textId="77777777" w:rsidR="00491761" w:rsidRPr="00491761" w:rsidRDefault="005B53CC" w:rsidP="00E423A3">
      <w:pPr>
        <w:spacing w:line="276" w:lineRule="auto"/>
        <w:contextualSpacing/>
      </w:pPr>
      <w:r w:rsidRPr="00491761">
        <w:t xml:space="preserve">Geological and economic assessment. The economy of discrete subsystems reflects the natural synergistic effect of ore formation and forms the economy of the discrete type of mineralization. And is a prerequisite for the formation of the economy of the discrete type of development of poor ore deposits. The economy of </w:t>
      </w:r>
      <w:proofErr w:type="gramStart"/>
      <w:r w:rsidRPr="00491761">
        <w:t>taking into account</w:t>
      </w:r>
      <w:proofErr w:type="gramEnd"/>
      <w:r w:rsidRPr="00491761">
        <w:t xml:space="preserve"> the complexity of geological, geotechnical, technological conditions of mineralization complexity and applied as an integration of differentiated production mining and other discrete subsystems - allows to introduce new approaches to the geological and economic assessment of the deposit. Based on</w:t>
      </w:r>
      <w:r w:rsidR="00491761" w:rsidRPr="00491761">
        <w:t xml:space="preserve"> splitting, comparison, selection of the greatest effects by elements of geology, geomechanics, geotechnology, technology, general mine, general plant work and costs (by discrete subsystems x0.01; x0.1; x1m; x10m; x 100m and optimization within the integrated indicators of the mining project-system Nx1000m</w:t>
      </w:r>
    </w:p>
    <w:p w14:paraId="09E716D1" w14:textId="77777777" w:rsidR="00491761" w:rsidRPr="00491761" w:rsidRDefault="00491761" w:rsidP="00E423A3">
      <w:pPr>
        <w:spacing w:line="276" w:lineRule="auto"/>
        <w:contextualSpacing/>
      </w:pPr>
      <w:r w:rsidRPr="00491761">
        <w:lastRenderedPageBreak/>
        <w:t>To obtain new parameters of economic indicators in the development of ore deposits of minerals as a source of differential mining rent of types I and II, normalized profit and a new approach to assessing the value of resources. With a general effect of increasing NPV by 30-60% and IRR by 20-40%.</w:t>
      </w:r>
    </w:p>
    <w:p w14:paraId="0162FFBC" w14:textId="77777777" w:rsidR="00491761" w:rsidRPr="00B8417B" w:rsidRDefault="00491761" w:rsidP="00E423A3">
      <w:pPr>
        <w:spacing w:line="276" w:lineRule="auto"/>
        <w:contextualSpacing/>
        <w:rPr>
          <w:b/>
          <w:bCs/>
        </w:rPr>
      </w:pPr>
      <w:r w:rsidRPr="00B8417B">
        <w:rPr>
          <w:b/>
          <w:bCs/>
        </w:rPr>
        <w:t>IV. Contractual regime of subsoil use. Hypothesis of the formation of a civil-law regime of subsoil use</w:t>
      </w:r>
    </w:p>
    <w:p w14:paraId="4DF97E6D" w14:textId="77777777" w:rsidR="00491761" w:rsidRPr="00491761" w:rsidRDefault="00491761" w:rsidP="00E423A3">
      <w:pPr>
        <w:spacing w:line="276" w:lineRule="auto"/>
        <w:contextualSpacing/>
      </w:pPr>
      <w:r w:rsidRPr="00491761">
        <w:t>Civil-law regime of subsoil use - equality of the parties in the legal aspect, which is generated from equality to property (ownership, use, disposal, management); investments; and is formed categories of shares in a mining project from the value of a resource determined by the standardized profit of operating activities for development; differential mining rent of the 1st type and investments.</w:t>
      </w:r>
    </w:p>
    <w:p w14:paraId="7773FF1A" w14:textId="77777777" w:rsidR="00491761" w:rsidRPr="005C3373" w:rsidRDefault="00491761" w:rsidP="00E423A3">
      <w:pPr>
        <w:spacing w:line="276" w:lineRule="auto"/>
        <w:contextualSpacing/>
      </w:pPr>
      <w:r w:rsidRPr="005C3373">
        <w:t>Legal basis - the contractual regime of each individual agreement has the form and content of an independent law, with an exhaustive list of applicable and governing legislation and a complete list of exceptions in the legislation of the country for the Agreement; an exhaustive list of norms for regulating and managing a mining project implemented in the Law on the contractual regime; Including the abolition of the tax regime for Agreements, except for taxes and labor payments.</w:t>
      </w:r>
    </w:p>
    <w:p w14:paraId="380E7624" w14:textId="77777777" w:rsidR="00491761" w:rsidRPr="005C3373" w:rsidRDefault="00491761" w:rsidP="00E423A3">
      <w:pPr>
        <w:spacing w:line="276" w:lineRule="auto"/>
        <w:contextualSpacing/>
      </w:pPr>
      <w:r w:rsidRPr="005C3373">
        <w:t>Autonomy of the contractual regime from the legal system of the country of the resource owner, except for an exhaustive list of laws of the country and exceptions.</w:t>
      </w:r>
    </w:p>
    <w:p w14:paraId="1DD719EC" w14:textId="77777777" w:rsidR="00491761" w:rsidRPr="009A5FEA" w:rsidRDefault="00491761" w:rsidP="00E423A3">
      <w:pPr>
        <w:spacing w:line="276" w:lineRule="auto"/>
        <w:contextualSpacing/>
        <w:rPr>
          <w:b/>
          <w:bCs/>
        </w:rPr>
      </w:pPr>
      <w:r w:rsidRPr="009A5FEA">
        <w:rPr>
          <w:b/>
          <w:bCs/>
        </w:rPr>
        <w:t>V. Operating agreements of a service type with, without and with mixed risks.</w:t>
      </w:r>
    </w:p>
    <w:p w14:paraId="600A3A37" w14:textId="77777777" w:rsidR="00491761" w:rsidRPr="005C3373" w:rsidRDefault="00491761" w:rsidP="00E423A3">
      <w:pPr>
        <w:spacing w:line="276" w:lineRule="auto"/>
        <w:contextualSpacing/>
      </w:pPr>
      <w:r w:rsidRPr="005C3373">
        <w:t>A hypothesis is put forward about an operating agreement of a service type with different shares of risk-investments.</w:t>
      </w:r>
    </w:p>
    <w:p w14:paraId="036834C3" w14:textId="77777777" w:rsidR="00491761" w:rsidRPr="005C3373" w:rsidRDefault="00491761" w:rsidP="00E423A3">
      <w:pPr>
        <w:spacing w:line="276" w:lineRule="auto"/>
        <w:contextualSpacing/>
      </w:pPr>
      <w:r w:rsidRPr="005C3373">
        <w:t>Operating activities can be carried out: by the country's own operating company; by a company attracted for the country (with 100% ownership of resources and investments); by an investment company 100% of shares in investments; and attracted by the investor; or the investor's own; or the shared owner - the country of the owner and the investor.</w:t>
      </w:r>
    </w:p>
    <w:p w14:paraId="4FBCDC14" w14:textId="77777777" w:rsidR="00491761" w:rsidRPr="005C3373" w:rsidRDefault="00491761" w:rsidP="00E423A3">
      <w:pPr>
        <w:spacing w:line="276" w:lineRule="auto"/>
        <w:contextualSpacing/>
      </w:pPr>
      <w:r w:rsidRPr="005C3373">
        <w:t>Legal basis - Special legal regime based on paragraph IV.</w:t>
      </w:r>
    </w:p>
    <w:p w14:paraId="1B53D0CC" w14:textId="77777777" w:rsidR="00491761" w:rsidRPr="005C3373" w:rsidRDefault="00491761" w:rsidP="00E423A3">
      <w:pPr>
        <w:spacing w:line="276" w:lineRule="auto"/>
        <w:contextualSpacing/>
      </w:pPr>
      <w:r w:rsidRPr="005C3373">
        <w:t>Shared ownership of the parties.</w:t>
      </w:r>
    </w:p>
    <w:p w14:paraId="797DDA4D" w14:textId="77777777" w:rsidR="00491761" w:rsidRPr="005C3373" w:rsidRDefault="00491761" w:rsidP="00E423A3">
      <w:pPr>
        <w:spacing w:line="276" w:lineRule="auto"/>
        <w:contextualSpacing/>
      </w:pPr>
      <w:r w:rsidRPr="005C3373">
        <w:t>No tax regime.</w:t>
      </w:r>
    </w:p>
    <w:p w14:paraId="6C2CC504" w14:textId="77777777" w:rsidR="00491761" w:rsidRPr="005C3373" w:rsidRDefault="00491761" w:rsidP="00E423A3">
      <w:pPr>
        <w:spacing w:line="276" w:lineRule="auto"/>
        <w:contextualSpacing/>
      </w:pPr>
      <w:r w:rsidRPr="005C3373">
        <w:t>Corporate governance.</w:t>
      </w:r>
    </w:p>
    <w:p w14:paraId="0C8F0CD6" w14:textId="77777777" w:rsidR="00491761" w:rsidRPr="005C3373" w:rsidRDefault="00491761" w:rsidP="00E423A3">
      <w:pPr>
        <w:spacing w:line="276" w:lineRule="auto"/>
        <w:contextualSpacing/>
      </w:pPr>
      <w:r w:rsidRPr="005C3373">
        <w:t>Distribution of profit according to standardized profit and mining rents of types I and II, respectively, for the resource owner - the country and the investment party.</w:t>
      </w:r>
    </w:p>
    <w:p w14:paraId="66EC343F" w14:textId="77777777" w:rsidR="00491761" w:rsidRPr="00B8417B" w:rsidRDefault="00491761" w:rsidP="00E423A3">
      <w:pPr>
        <w:spacing w:line="276" w:lineRule="auto"/>
        <w:contextualSpacing/>
      </w:pPr>
      <w:r w:rsidRPr="00B8417B">
        <w:t>Dispute resolution. Jurisdiction.</w:t>
      </w:r>
    </w:p>
    <w:p w14:paraId="0E9D522C" w14:textId="77777777" w:rsidR="00491761" w:rsidRPr="00B8417B" w:rsidRDefault="00491761" w:rsidP="00E423A3">
      <w:pPr>
        <w:spacing w:line="276" w:lineRule="auto"/>
        <w:contextualSpacing/>
        <w:rPr>
          <w:b/>
          <w:bCs/>
        </w:rPr>
      </w:pPr>
      <w:r w:rsidRPr="00B8417B">
        <w:rPr>
          <w:b/>
          <w:bCs/>
        </w:rPr>
        <w:t>VI. Category of profit standardization.</w:t>
      </w:r>
    </w:p>
    <w:p w14:paraId="44660A12" w14:textId="77777777" w:rsidR="00491761" w:rsidRPr="005C3373" w:rsidRDefault="00491761" w:rsidP="00E423A3">
      <w:pPr>
        <w:spacing w:line="276" w:lineRule="auto"/>
        <w:contextualSpacing/>
      </w:pPr>
      <w:r w:rsidRPr="005C3373">
        <w:t>The rate of return on the costs of field development. For own, attracted and investment operators, mixed ownership.</w:t>
      </w:r>
    </w:p>
    <w:p w14:paraId="1B044B07" w14:textId="199D3533" w:rsidR="005B53CC" w:rsidRPr="00CD30AF" w:rsidRDefault="00491761" w:rsidP="00E423A3">
      <w:pPr>
        <w:spacing w:line="276" w:lineRule="auto"/>
        <w:contextualSpacing/>
      </w:pPr>
      <w:r w:rsidRPr="005C3373">
        <w:t>Range from 3-4% (for own companies) to 17-20% (for attracted companies with their own capital). It is based on the average rate of return for mining companies in the world of 17% and on the estimated cost of equity and borrowed capital of 9-11%.</w:t>
      </w:r>
    </w:p>
    <w:p w14:paraId="572A5EB4" w14:textId="77777777" w:rsidR="005C3373" w:rsidRPr="000C5DE0" w:rsidRDefault="005C3373" w:rsidP="00E423A3">
      <w:pPr>
        <w:spacing w:line="276" w:lineRule="auto"/>
        <w:contextualSpacing/>
      </w:pPr>
      <w:r w:rsidRPr="000C5DE0">
        <w:t>The calculation methods are based on the cost of equity and borrowed capital: CAMP; WASS, etc. with coefficients (±) of motivation for productivity, technology, environmental friendliness, innovation, etc.</w:t>
      </w:r>
    </w:p>
    <w:p w14:paraId="0F7FF1D1" w14:textId="77777777" w:rsidR="005C3373" w:rsidRPr="000C5DE0" w:rsidRDefault="005C3373" w:rsidP="00E423A3">
      <w:pPr>
        <w:spacing w:line="276" w:lineRule="auto"/>
        <w:contextualSpacing/>
        <w:rPr>
          <w:b/>
          <w:bCs/>
        </w:rPr>
      </w:pPr>
      <w:r w:rsidRPr="000C5DE0">
        <w:rPr>
          <w:b/>
          <w:bCs/>
        </w:rPr>
        <w:t>VII. Implementation of the institute of differential mining rent of the 1st kind.</w:t>
      </w:r>
    </w:p>
    <w:p w14:paraId="3A6C8AE9" w14:textId="77777777" w:rsidR="005C3373" w:rsidRPr="000C5DE0" w:rsidRDefault="005C3373" w:rsidP="00E423A3">
      <w:pPr>
        <w:spacing w:line="276" w:lineRule="auto"/>
        <w:contextualSpacing/>
      </w:pPr>
      <w:r w:rsidRPr="000C5DE0">
        <w:t xml:space="preserve">Source - natural properties in terms of quantity and quality of the resource. The estimated assessment is given by three main indicators and parameters: First, physical and geographical conditions </w:t>
      </w:r>
      <w:r w:rsidRPr="000C5DE0">
        <w:lastRenderedPageBreak/>
        <w:t>of localization and applicable geotechnology (quarry, underground mine); second - growth in the external market price of raw materials in relation to the base level; third - qualitative and quantitative parameters of resources (reserves, average grades, extraction, etc.).</w:t>
      </w:r>
    </w:p>
    <w:p w14:paraId="7119D805" w14:textId="77777777" w:rsidR="005C3373" w:rsidRPr="000C5DE0" w:rsidRDefault="005C3373" w:rsidP="00E423A3">
      <w:pPr>
        <w:spacing w:line="276" w:lineRule="auto"/>
        <w:contextualSpacing/>
      </w:pPr>
      <w:r w:rsidRPr="000C5DE0">
        <w:t xml:space="preserve">Belonging - an integral part of the property and profit of the country of the owner of the </w:t>
      </w:r>
      <w:proofErr w:type="gramStart"/>
      <w:r w:rsidRPr="000C5DE0">
        <w:t>resources;</w:t>
      </w:r>
      <w:proofErr w:type="gramEnd"/>
    </w:p>
    <w:p w14:paraId="07812DAF" w14:textId="77777777" w:rsidR="005C3373" w:rsidRPr="000C5DE0" w:rsidRDefault="005C3373" w:rsidP="00E423A3">
      <w:pPr>
        <w:spacing w:line="276" w:lineRule="auto"/>
        <w:contextualSpacing/>
      </w:pPr>
      <w:r w:rsidRPr="000C5DE0">
        <w:t xml:space="preserve">Use - models of use are proposed: first: as a calculated assessment indicator for the allocation of cash flows of profit from the project; Second - as an estimated calculation indicator for assessing the share of ownership in the contractual subsoil use </w:t>
      </w:r>
      <w:proofErr w:type="gramStart"/>
      <w:r w:rsidRPr="000C5DE0">
        <w:t>regime;</w:t>
      </w:r>
      <w:proofErr w:type="gramEnd"/>
    </w:p>
    <w:p w14:paraId="01C23B6A" w14:textId="77777777" w:rsidR="005C3373" w:rsidRPr="000C5DE0" w:rsidRDefault="005C3373" w:rsidP="00E423A3">
      <w:pPr>
        <w:spacing w:line="276" w:lineRule="auto"/>
        <w:contextualSpacing/>
      </w:pPr>
      <w:r w:rsidRPr="000C5DE0">
        <w:t>Result - with the traditional approach to the mineralization paradigm, the share participation for the owner country in ordinary, rich ores, the country's share in the profit reaches 70-80% of the net cash flows.</w:t>
      </w:r>
    </w:p>
    <w:p w14:paraId="136E04C3" w14:textId="77777777" w:rsidR="005C3373" w:rsidRPr="000C5DE0" w:rsidRDefault="005C3373" w:rsidP="00E423A3">
      <w:pPr>
        <w:spacing w:line="276" w:lineRule="auto"/>
        <w:contextualSpacing/>
        <w:rPr>
          <w:b/>
          <w:bCs/>
        </w:rPr>
      </w:pPr>
      <w:r w:rsidRPr="000C5DE0">
        <w:rPr>
          <w:b/>
          <w:bCs/>
        </w:rPr>
        <w:t>VIII. Implementation of the institute of differential mining rent of the II kind.</w:t>
      </w:r>
    </w:p>
    <w:p w14:paraId="7EB9699B" w14:textId="77777777" w:rsidR="005C3373" w:rsidRPr="000C5DE0" w:rsidRDefault="005C3373" w:rsidP="00E423A3">
      <w:pPr>
        <w:spacing w:line="276" w:lineRule="auto"/>
        <w:contextualSpacing/>
      </w:pPr>
      <w:r w:rsidRPr="000C5DE0">
        <w:t xml:space="preserve">Source - Productivity (equipment, transport, mechanisms, technologies); Turnover of funds; Technological innovations </w:t>
      </w:r>
      <w:proofErr w:type="gramStart"/>
      <w:r w:rsidRPr="000C5DE0">
        <w:t>similar to</w:t>
      </w:r>
      <w:proofErr w:type="gramEnd"/>
      <w:r w:rsidRPr="000C5DE0">
        <w:t xml:space="preserve"> those described in paragraphs I-III. For example, when assessing the mineralization contour of the USSR and the </w:t>
      </w:r>
      <w:proofErr w:type="spellStart"/>
      <w:r w:rsidRPr="000C5DE0">
        <w:t>Comeco</w:t>
      </w:r>
      <w:proofErr w:type="spellEnd"/>
      <w:r w:rsidRPr="000C5DE0">
        <w:t xml:space="preserve"> Kumtor deposit, the difference in gross profit of a similar resource assessment for gold and gold content was 29% only due to productivity. Comparable indicators were achieved due to turnover with an estimated 12 </w:t>
      </w:r>
      <w:proofErr w:type="gramStart"/>
      <w:r w:rsidRPr="000C5DE0">
        <w:t>months,</w:t>
      </w:r>
      <w:proofErr w:type="gramEnd"/>
      <w:r w:rsidRPr="000C5DE0">
        <w:t xml:space="preserve"> the actual turnover did not exceed 6 months.</w:t>
      </w:r>
    </w:p>
    <w:p w14:paraId="2A155C11" w14:textId="77777777" w:rsidR="005C3373" w:rsidRPr="000C5DE0" w:rsidRDefault="005C3373" w:rsidP="00E423A3">
      <w:pPr>
        <w:spacing w:line="276" w:lineRule="auto"/>
        <w:contextualSpacing/>
      </w:pPr>
      <w:r w:rsidRPr="000C5DE0">
        <w:t>Belonging to investment capital and is an integral part.</w:t>
      </w:r>
    </w:p>
    <w:p w14:paraId="1079BC4A" w14:textId="77777777" w:rsidR="005C3373" w:rsidRPr="000C5DE0" w:rsidRDefault="005C3373" w:rsidP="00E423A3">
      <w:pPr>
        <w:spacing w:line="276" w:lineRule="auto"/>
        <w:contextualSpacing/>
      </w:pPr>
      <w:r w:rsidRPr="000C5DE0">
        <w:t xml:space="preserve">Use - one of the sources of return on investment and as a motivation for investment and operating activities of the </w:t>
      </w:r>
      <w:proofErr w:type="gramStart"/>
      <w:r w:rsidRPr="000C5DE0">
        <w:t>investor;</w:t>
      </w:r>
      <w:proofErr w:type="gramEnd"/>
    </w:p>
    <w:p w14:paraId="22CFAFCA" w14:textId="77777777" w:rsidR="00713935" w:rsidRPr="00CD30AF" w:rsidRDefault="005C3373" w:rsidP="00E423A3">
      <w:pPr>
        <w:spacing w:line="276" w:lineRule="auto"/>
        <w:contextualSpacing/>
      </w:pPr>
      <w:r w:rsidRPr="000C5DE0">
        <w:t>Result - in accordance with the assessment of paragraphs I - III, additional profit in the amount of up to 20-60% is mostly generated.</w:t>
      </w:r>
    </w:p>
    <w:p w14:paraId="0560F2D3" w14:textId="77777777" w:rsidR="009A5FEA" w:rsidRPr="00CD30AF" w:rsidRDefault="005C3373" w:rsidP="00E423A3">
      <w:pPr>
        <w:spacing w:line="276" w:lineRule="auto"/>
        <w:contextualSpacing/>
        <w:rPr>
          <w:b/>
          <w:bCs/>
        </w:rPr>
      </w:pPr>
      <w:r w:rsidRPr="009A5FEA">
        <w:rPr>
          <w:b/>
          <w:bCs/>
        </w:rPr>
        <w:t xml:space="preserve"> IX. The concept of absolute value of subsoil resources. </w:t>
      </w:r>
    </w:p>
    <w:p w14:paraId="256A3725" w14:textId="601E4C46" w:rsidR="005C3373" w:rsidRPr="000C5DE0" w:rsidRDefault="005C3373" w:rsidP="00E423A3">
      <w:pPr>
        <w:spacing w:line="276" w:lineRule="auto"/>
        <w:contextualSpacing/>
      </w:pPr>
      <w:r w:rsidRPr="000C5DE0">
        <w:t>The concept of absolute value of subsoil resources has been developed based on the use of new tools and mechanisms for the maximum possible and acceptable extraction of the value of subsoil resources due to: contractual regime, mining rent, profit standardization; The second aspect of absolute value has estimated characteristics with calculated indicators: the remaining value (payment for the supply of goods and services on the territory of the Kyrgyz Republic); macroeconomic indicators and the impact on regional and country socio-economic characteristics: jobs, GDP, balance of payments and trade, gold and foreign exchange resources; and other indicators of impact on local regional and republican socio-economic indicators.</w:t>
      </w:r>
    </w:p>
    <w:sectPr w:rsidR="005C3373" w:rsidRPr="000C5DE0" w:rsidSect="00E30422">
      <w:pgSz w:w="12240" w:h="15840" w:code="1"/>
      <w:pgMar w:top="1134" w:right="1134" w:bottom="1134" w:left="1134" w:header="709" w:footer="709" w:gutter="0"/>
      <w:cols w:space="708"/>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drawingGridHorizontalSpacing w:val="120"/>
  <w:drawingGridVerticalSpacing w:val="24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13"/>
    <w:rsid w:val="000C5DE0"/>
    <w:rsid w:val="001946BF"/>
    <w:rsid w:val="001B656E"/>
    <w:rsid w:val="002C123B"/>
    <w:rsid w:val="00491761"/>
    <w:rsid w:val="00524A1E"/>
    <w:rsid w:val="00566A75"/>
    <w:rsid w:val="005B53CC"/>
    <w:rsid w:val="005C3373"/>
    <w:rsid w:val="006C2B4F"/>
    <w:rsid w:val="00713935"/>
    <w:rsid w:val="009A5FEA"/>
    <w:rsid w:val="00AC69F4"/>
    <w:rsid w:val="00B8417B"/>
    <w:rsid w:val="00BA3DC8"/>
    <w:rsid w:val="00CD30AF"/>
    <w:rsid w:val="00DE6D13"/>
    <w:rsid w:val="00E30422"/>
    <w:rsid w:val="00E423A3"/>
    <w:rsid w:val="00EB1483"/>
    <w:rsid w:val="00F51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693E"/>
  <w15:chartTrackingRefBased/>
  <w15:docId w15:val="{D9A3E32E-EECC-43B8-9677-A8B79699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E6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E6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E6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DE6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DE6D13"/>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DE6D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E6D1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E6D1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E6D1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D1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E6D1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E6D13"/>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DE6D13"/>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DE6D13"/>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DE6D13"/>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DE6D13"/>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DE6D13"/>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DE6D13"/>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DE6D1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E6D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D13"/>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DE6D13"/>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DE6D13"/>
    <w:pPr>
      <w:spacing w:before="160" w:after="160"/>
      <w:jc w:val="center"/>
    </w:pPr>
    <w:rPr>
      <w:i/>
      <w:iCs/>
      <w:color w:val="404040" w:themeColor="text1" w:themeTint="BF"/>
    </w:rPr>
  </w:style>
  <w:style w:type="character" w:customStyle="1" w:styleId="22">
    <w:name w:val="Цитата 2 Знак"/>
    <w:basedOn w:val="a0"/>
    <w:link w:val="21"/>
    <w:uiPriority w:val="29"/>
    <w:rsid w:val="00DE6D13"/>
    <w:rPr>
      <w:i/>
      <w:iCs/>
      <w:color w:val="404040" w:themeColor="text1" w:themeTint="BF"/>
    </w:rPr>
  </w:style>
  <w:style w:type="paragraph" w:styleId="a7">
    <w:name w:val="List Paragraph"/>
    <w:basedOn w:val="a"/>
    <w:uiPriority w:val="34"/>
    <w:qFormat/>
    <w:rsid w:val="00DE6D13"/>
    <w:pPr>
      <w:ind w:left="720"/>
      <w:contextualSpacing/>
    </w:pPr>
  </w:style>
  <w:style w:type="character" w:styleId="a8">
    <w:name w:val="Intense Emphasis"/>
    <w:basedOn w:val="a0"/>
    <w:uiPriority w:val="21"/>
    <w:qFormat/>
    <w:rsid w:val="00DE6D13"/>
    <w:rPr>
      <w:i/>
      <w:iCs/>
      <w:color w:val="0F4761" w:themeColor="accent1" w:themeShade="BF"/>
    </w:rPr>
  </w:style>
  <w:style w:type="paragraph" w:styleId="a9">
    <w:name w:val="Intense Quote"/>
    <w:basedOn w:val="a"/>
    <w:next w:val="a"/>
    <w:link w:val="aa"/>
    <w:uiPriority w:val="30"/>
    <w:qFormat/>
    <w:rsid w:val="00DE6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E6D13"/>
    <w:rPr>
      <w:i/>
      <w:iCs/>
      <w:color w:val="0F4761" w:themeColor="accent1" w:themeShade="BF"/>
    </w:rPr>
  </w:style>
  <w:style w:type="character" w:styleId="ab">
    <w:name w:val="Intense Reference"/>
    <w:basedOn w:val="a0"/>
    <w:uiPriority w:val="32"/>
    <w:qFormat/>
    <w:rsid w:val="00DE6D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3074</Words>
  <Characters>17526</Characters>
  <Application>Microsoft Office Word</Application>
  <DocSecurity>0</DocSecurity>
  <Lines>146</Lines>
  <Paragraphs>41</Paragraphs>
  <ScaleCrop>false</ScaleCrop>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Kapar Kurmanaliev</dc:creator>
  <cp:keywords/>
  <dc:description/>
  <cp:lastModifiedBy>Aleksejs Jelisejevs</cp:lastModifiedBy>
  <cp:revision>2</cp:revision>
  <dcterms:created xsi:type="dcterms:W3CDTF">2025-09-07T10:49:00Z</dcterms:created>
  <dcterms:modified xsi:type="dcterms:W3CDTF">2025-09-07T10:49:00Z</dcterms:modified>
</cp:coreProperties>
</file>